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6C47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41DB22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247DA75" w14:textId="77777777" w:rsidR="00422590" w:rsidRDefault="00EC7EB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D5EB821" wp14:editId="55CA80A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8A2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284D73B" w14:textId="77777777" w:rsidR="00422590" w:rsidRDefault="0077325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5</w:t>
      </w:r>
      <w:r w:rsidR="00422590">
        <w:rPr>
          <w:rFonts w:ascii="Times-Bold" w:hAnsi="Times-Bold"/>
          <w:b/>
          <w:snapToGrid w:val="0"/>
          <w:sz w:val="24"/>
        </w:rPr>
        <w:t>:</w:t>
      </w:r>
      <w:r w:rsidR="00A73231">
        <w:rPr>
          <w:rFonts w:ascii="Times-Bold" w:hAnsi="Times-Bold"/>
          <w:b/>
          <w:snapToGrid w:val="0"/>
          <w:sz w:val="24"/>
        </w:rPr>
        <w:t xml:space="preserve"> </w:t>
      </w:r>
      <w:r>
        <w:rPr>
          <w:rFonts w:ascii="Times-Bold" w:hAnsi="Times-Bold"/>
          <w:b/>
          <w:snapToGrid w:val="0"/>
          <w:sz w:val="24"/>
        </w:rPr>
        <w:t>Why the Purple Color?</w:t>
      </w:r>
    </w:p>
    <w:p w14:paraId="5D41BCD6" w14:textId="77777777" w:rsidR="00110397" w:rsidRDefault="0077325E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The </w:t>
      </w:r>
      <w:r w:rsidR="00110397">
        <w:rPr>
          <w:rFonts w:ascii="Times-Bold" w:hAnsi="Times-Bold"/>
          <w:snapToGrid w:val="0"/>
          <w:sz w:val="24"/>
        </w:rPr>
        <w:t xml:space="preserve">color of a material that is seen by a person is based on the colors of visible light that are absorbed by the material and those that are reflected. The person sees the colors of light that are reflected. </w:t>
      </w:r>
      <w:proofErr w:type="gramStart"/>
      <w:r w:rsidR="00110397">
        <w:rPr>
          <w:rFonts w:ascii="Times-Bold" w:hAnsi="Times-Bold"/>
          <w:snapToGrid w:val="0"/>
          <w:sz w:val="24"/>
        </w:rPr>
        <w:t>So</w:t>
      </w:r>
      <w:proofErr w:type="gramEnd"/>
      <w:r w:rsidR="00110397">
        <w:rPr>
          <w:rFonts w:ascii="Times-Bold" w:hAnsi="Times-Bold"/>
          <w:snapToGrid w:val="0"/>
          <w:sz w:val="24"/>
        </w:rPr>
        <w:t xml:space="preserve"> a red-colored shirt absorbs all of the colors of light except red. Are you ready to become completely absorbed in this investigation?</w:t>
      </w:r>
    </w:p>
    <w:p w14:paraId="3DF645BE" w14:textId="77777777" w:rsidR="00110397" w:rsidRPr="00FD0AC3" w:rsidRDefault="00110397">
      <w:pPr>
        <w:jc w:val="both"/>
        <w:rPr>
          <w:rFonts w:ascii="Times-Bold" w:hAnsi="Times-Bold"/>
          <w:snapToGrid w:val="0"/>
          <w:sz w:val="24"/>
        </w:rPr>
      </w:pPr>
    </w:p>
    <w:p w14:paraId="2BDE685C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E565F33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B3708">
        <w:rPr>
          <w:rFonts w:ascii="Times-Roman" w:hAnsi="Times-Roman"/>
          <w:snapToGrid w:val="0"/>
          <w:sz w:val="24"/>
        </w:rPr>
        <w:t>Buckyball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228EEFD6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73231">
        <w:rPr>
          <w:rFonts w:ascii="Times-Roman" w:hAnsi="Times-Roman"/>
          <w:snapToGrid w:val="0"/>
          <w:sz w:val="24"/>
        </w:rPr>
        <w:t>Click on the</w:t>
      </w:r>
      <w:r w:rsidR="00CC71CE">
        <w:rPr>
          <w:rFonts w:ascii="Times-Roman" w:hAnsi="Times-Roman"/>
          <w:snapToGrid w:val="0"/>
          <w:sz w:val="24"/>
        </w:rPr>
        <w:t xml:space="preserve"> f</w:t>
      </w:r>
      <w:r w:rsidR="00A73231">
        <w:rPr>
          <w:rFonts w:ascii="Times-Roman" w:hAnsi="Times-Roman"/>
          <w:snapToGrid w:val="0"/>
          <w:sz w:val="24"/>
        </w:rPr>
        <w:t>ullerene (C</w:t>
      </w:r>
      <w:r w:rsidR="00A73231" w:rsidRPr="00CC71CE">
        <w:rPr>
          <w:rFonts w:ascii="Times-Roman" w:hAnsi="Times-Roman"/>
          <w:snapToGrid w:val="0"/>
          <w:sz w:val="24"/>
          <w:vertAlign w:val="subscript"/>
        </w:rPr>
        <w:t>60</w:t>
      </w:r>
      <w:r w:rsidR="00A73231">
        <w:rPr>
          <w:rFonts w:ascii="Times-Roman" w:hAnsi="Times-Roman"/>
          <w:snapToGrid w:val="0"/>
          <w:sz w:val="24"/>
        </w:rPr>
        <w:t xml:space="preserve">) </w:t>
      </w:r>
      <w:r w:rsidR="00CC71CE">
        <w:rPr>
          <w:rFonts w:ascii="Times-Roman" w:hAnsi="Times-Roman"/>
          <w:snapToGrid w:val="0"/>
          <w:sz w:val="24"/>
        </w:rPr>
        <w:t xml:space="preserve">container </w:t>
      </w:r>
      <w:r w:rsidR="00A73231">
        <w:rPr>
          <w:rFonts w:ascii="Times-Roman" w:hAnsi="Times-Roman"/>
          <w:snapToGrid w:val="0"/>
          <w:sz w:val="24"/>
        </w:rPr>
        <w:t xml:space="preserve">and drag a chunk to the </w:t>
      </w:r>
      <w:r w:rsidR="009537F2">
        <w:rPr>
          <w:rFonts w:ascii="Times-Roman" w:hAnsi="Times-Roman"/>
          <w:snapToGrid w:val="0"/>
          <w:sz w:val="24"/>
        </w:rPr>
        <w:t>empty beaker on the tabletop</w:t>
      </w:r>
      <w:r w:rsidR="00A73231">
        <w:rPr>
          <w:rFonts w:ascii="Times-Roman" w:hAnsi="Times-Roman"/>
          <w:snapToGrid w:val="0"/>
          <w:sz w:val="24"/>
        </w:rPr>
        <w:t>.</w:t>
      </w:r>
    </w:p>
    <w:p w14:paraId="6093A315" w14:textId="77777777" w:rsidR="00E7214D" w:rsidRDefault="00A73231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E7214D">
        <w:rPr>
          <w:rFonts w:ascii="Times-Roman" w:hAnsi="Times-Roman"/>
          <w:snapToGrid w:val="0"/>
          <w:sz w:val="24"/>
        </w:rPr>
        <w:t xml:space="preserve">Click the “On” button on the </w:t>
      </w:r>
      <w:r w:rsidR="00110397">
        <w:rPr>
          <w:rFonts w:ascii="Times-Roman" w:hAnsi="Times-Roman"/>
          <w:i/>
          <w:snapToGrid w:val="0"/>
          <w:sz w:val="24"/>
        </w:rPr>
        <w:t>Optical Absorption Spectrum</w:t>
      </w:r>
      <w:r w:rsidR="00E7214D">
        <w:rPr>
          <w:rFonts w:ascii="Times-Roman" w:hAnsi="Times-Roman"/>
          <w:snapToGrid w:val="0"/>
          <w:sz w:val="24"/>
        </w:rPr>
        <w:t xml:space="preserve"> device. If “No Data” appears, the material </w:t>
      </w:r>
      <w:r w:rsidR="00110397">
        <w:rPr>
          <w:rFonts w:ascii="Times-Roman" w:hAnsi="Times-Roman"/>
          <w:snapToGrid w:val="0"/>
          <w:sz w:val="24"/>
        </w:rPr>
        <w:t>does not create a spectrum</w:t>
      </w:r>
      <w:r w:rsidR="00E7214D">
        <w:rPr>
          <w:rFonts w:ascii="Times-Roman" w:hAnsi="Times-Roman"/>
          <w:snapToGrid w:val="0"/>
          <w:sz w:val="24"/>
        </w:rPr>
        <w:t>. If dat</w:t>
      </w:r>
      <w:r w:rsidR="00110397">
        <w:rPr>
          <w:rFonts w:ascii="Times-Roman" w:hAnsi="Times-Roman"/>
          <w:snapToGrid w:val="0"/>
          <w:sz w:val="24"/>
        </w:rPr>
        <w:t xml:space="preserve">a does appear in the graph area, </w:t>
      </w:r>
      <w:r w:rsidR="00E7214D">
        <w:rPr>
          <w:rFonts w:ascii="Times-Roman" w:hAnsi="Times-Roman"/>
          <w:snapToGrid w:val="0"/>
          <w:sz w:val="24"/>
        </w:rPr>
        <w:t xml:space="preserve">click the graph area to enlarge the graph for detailed study. Note and record in Table 1 the </w:t>
      </w:r>
      <w:r w:rsidR="00110397">
        <w:rPr>
          <w:rFonts w:ascii="Times-Roman" w:hAnsi="Times-Roman"/>
          <w:snapToGrid w:val="0"/>
          <w:sz w:val="24"/>
        </w:rPr>
        <w:t xml:space="preserve">wavelengths of light that are </w:t>
      </w:r>
      <w:r w:rsidR="00110397" w:rsidRPr="00110397">
        <w:rPr>
          <w:rFonts w:ascii="Times-Roman" w:hAnsi="Times-Roman"/>
          <w:i/>
          <w:snapToGrid w:val="0"/>
          <w:sz w:val="24"/>
        </w:rPr>
        <w:t>not</w:t>
      </w:r>
      <w:r w:rsidR="00110397">
        <w:rPr>
          <w:rFonts w:ascii="Times-Roman" w:hAnsi="Times-Roman"/>
          <w:snapToGrid w:val="0"/>
          <w:sz w:val="24"/>
        </w:rPr>
        <w:t xml:space="preserve"> absorbed by the substance</w:t>
      </w:r>
      <w:r w:rsidR="007B0650">
        <w:rPr>
          <w:rFonts w:ascii="Times-Roman" w:hAnsi="Times-Roman"/>
          <w:snapToGrid w:val="0"/>
          <w:sz w:val="24"/>
        </w:rPr>
        <w:t xml:space="preserve"> (</w:t>
      </w:r>
      <w:r w:rsidR="007B0650" w:rsidRPr="00403497">
        <w:rPr>
          <w:rFonts w:ascii="Times-Roman" w:hAnsi="Times-Roman"/>
          <w:i/>
          <w:snapToGrid w:val="0"/>
          <w:sz w:val="24"/>
        </w:rPr>
        <w:t>reflected</w:t>
      </w:r>
      <w:r w:rsidR="007B0650">
        <w:rPr>
          <w:rFonts w:ascii="Times-Roman" w:hAnsi="Times-Roman"/>
          <w:snapToGrid w:val="0"/>
          <w:sz w:val="24"/>
        </w:rPr>
        <w:t>)</w:t>
      </w:r>
      <w:r w:rsidR="00110397">
        <w:rPr>
          <w:rFonts w:ascii="Times-Roman" w:hAnsi="Times-Roman"/>
          <w:snapToGrid w:val="0"/>
          <w:sz w:val="24"/>
        </w:rPr>
        <w:t>. The wavelengths of light that are not absorbed by the substance appear as valleys in the graph that approach the “0” position of the “UV-VIS Absorption” axis.</w:t>
      </w:r>
    </w:p>
    <w:p w14:paraId="1AE43B44" w14:textId="77777777" w:rsidR="00E7214D" w:rsidRDefault="00E7214D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the “X” in the upper right-hand corner of the Graph screen to return to the lab testing area.</w:t>
      </w:r>
    </w:p>
    <w:p w14:paraId="40C262FD" w14:textId="77777777" w:rsidR="00E7214D" w:rsidRDefault="00E7214D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“Reset” button at the bottom of the screen.</w:t>
      </w:r>
    </w:p>
    <w:p w14:paraId="7C5C6217" w14:textId="77777777" w:rsidR="00E7214D" w:rsidRDefault="00E7214D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Repeat steps 2 – 4, except test the remaining materials and combinations described in Table 1 instead of using fullerene. Make sure to note and record your data in Table 1.</w:t>
      </w:r>
    </w:p>
    <w:p w14:paraId="7F2C18EB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59C4E648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  <w:r w:rsidR="00110397">
        <w:rPr>
          <w:rFonts w:ascii="Times-Bold" w:hAnsi="Times-Bold"/>
          <w:b/>
          <w:snapToGrid w:val="0"/>
          <w:sz w:val="24"/>
        </w:rPr>
        <w:t>Optical Absorption Spectra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870"/>
      </w:tblGrid>
      <w:tr w:rsidR="005D726C" w:rsidRPr="001431FA" w14:paraId="21A9525F" w14:textId="77777777" w:rsidTr="005D726C">
        <w:tc>
          <w:tcPr>
            <w:tcW w:w="5220" w:type="dxa"/>
            <w:shd w:val="clear" w:color="auto" w:fill="auto"/>
            <w:vAlign w:val="center"/>
          </w:tcPr>
          <w:p w14:paraId="71C33C2F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431FA"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9E8C3B8" w14:textId="77777777" w:rsidR="005D726C" w:rsidRPr="001431FA" w:rsidRDefault="00110397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Reflected Wavelengths (nm)</w:t>
            </w:r>
          </w:p>
        </w:tc>
      </w:tr>
      <w:tr w:rsidR="005D726C" w:rsidRPr="001431FA" w14:paraId="3F06ADD6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7C9C8E5" w14:textId="77777777" w:rsidR="005D726C" w:rsidRPr="001431FA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32CF6D9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597342E3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E47BDC2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Water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147C592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3362E6AA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35D9D7EE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Benzene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13D9AA9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1DA06ADF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437D41C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Potassium Doping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CD11F09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00F26BBC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2E30B53E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  <w:r>
              <w:rPr>
                <w:rFonts w:ascii="Times-Bold" w:hAnsi="Times-Bold"/>
                <w:snapToGrid w:val="0"/>
                <w:sz w:val="24"/>
                <w:vertAlign w:val="subscript"/>
              </w:rPr>
              <w:t xml:space="preserve"> </w:t>
            </w:r>
            <w:r>
              <w:rPr>
                <w:rFonts w:ascii="Times-Bold" w:hAnsi="Times-Bold"/>
                <w:snapToGrid w:val="0"/>
                <w:sz w:val="24"/>
              </w:rPr>
              <w:t>&amp; Water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DA5E943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7ED8C559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6F1BCE35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  <w:r>
              <w:rPr>
                <w:rFonts w:ascii="Times-Bold" w:hAnsi="Times-Bold"/>
                <w:snapToGrid w:val="0"/>
                <w:sz w:val="24"/>
              </w:rPr>
              <w:t xml:space="preserve"> &amp; Benzene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8C2A8F7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48EB1043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5D17DB52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  <w:r>
              <w:rPr>
                <w:rFonts w:ascii="Times-Bold" w:hAnsi="Times-Bold"/>
                <w:snapToGrid w:val="0"/>
                <w:sz w:val="24"/>
              </w:rPr>
              <w:t xml:space="preserve"> &amp; Potassium Doping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745B985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CDBB85F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</w:p>
    <w:p w14:paraId="143D132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6142506" w14:textId="77777777" w:rsidR="00422590" w:rsidRDefault="0042259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5D726C">
        <w:rPr>
          <w:rFonts w:ascii="Times-Roman" w:hAnsi="Times-Roman"/>
          <w:snapToGrid w:val="0"/>
          <w:sz w:val="24"/>
        </w:rPr>
        <w:t xml:space="preserve">On the back of this paper, sketch the graph(s) for the materials and/or combinations that </w:t>
      </w:r>
      <w:r w:rsidR="00110397">
        <w:rPr>
          <w:rFonts w:ascii="Times-Roman" w:hAnsi="Times-Roman"/>
          <w:snapToGrid w:val="0"/>
          <w:sz w:val="24"/>
        </w:rPr>
        <w:t>displayed absorption spectra</w:t>
      </w:r>
      <w:r w:rsidR="005D726C">
        <w:rPr>
          <w:rFonts w:ascii="Times-Roman" w:hAnsi="Times-Roman"/>
          <w:snapToGrid w:val="0"/>
          <w:sz w:val="24"/>
        </w:rPr>
        <w:t>. Make sure to p</w:t>
      </w:r>
      <w:r w:rsidR="003319CD">
        <w:rPr>
          <w:rFonts w:ascii="Times-Roman" w:hAnsi="Times-Roman"/>
          <w:snapToGrid w:val="0"/>
          <w:sz w:val="24"/>
        </w:rPr>
        <w:t xml:space="preserve">roperly </w:t>
      </w:r>
      <w:r w:rsidR="0000257A">
        <w:rPr>
          <w:rFonts w:ascii="Times-Roman" w:hAnsi="Times-Roman"/>
          <w:snapToGrid w:val="0"/>
          <w:sz w:val="24"/>
        </w:rPr>
        <w:t xml:space="preserve">title and </w:t>
      </w:r>
      <w:r w:rsidR="003319CD">
        <w:rPr>
          <w:rFonts w:ascii="Times-Roman" w:hAnsi="Times-Roman"/>
          <w:snapToGrid w:val="0"/>
          <w:sz w:val="24"/>
        </w:rPr>
        <w:t>label all graphs and axe</w:t>
      </w:r>
      <w:r w:rsidR="005D726C">
        <w:rPr>
          <w:rFonts w:ascii="Times-Roman" w:hAnsi="Times-Roman"/>
          <w:snapToGrid w:val="0"/>
          <w:sz w:val="24"/>
        </w:rPr>
        <w:t xml:space="preserve">s. </w:t>
      </w:r>
    </w:p>
    <w:p w14:paraId="4DDCFB98" w14:textId="77777777" w:rsidR="00CC71CE" w:rsidRDefault="00CC71CE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1ACDAB3" w14:textId="77777777" w:rsidR="009537F2" w:rsidRDefault="009537F2" w:rsidP="005D726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10397">
        <w:rPr>
          <w:rFonts w:ascii="Times-Roman" w:hAnsi="Times-Roman"/>
          <w:snapToGrid w:val="0"/>
          <w:sz w:val="24"/>
        </w:rPr>
        <w:t>Based on your data and investigation, explain why C</w:t>
      </w:r>
      <w:r w:rsidR="00110397" w:rsidRPr="00110397">
        <w:rPr>
          <w:rFonts w:ascii="Times-Roman" w:hAnsi="Times-Roman"/>
          <w:snapToGrid w:val="0"/>
          <w:sz w:val="24"/>
          <w:vertAlign w:val="subscript"/>
        </w:rPr>
        <w:t>60</w:t>
      </w:r>
      <w:r w:rsidR="00110397">
        <w:rPr>
          <w:rFonts w:ascii="Times-Roman" w:hAnsi="Times-Roman"/>
          <w:snapToGrid w:val="0"/>
          <w:sz w:val="24"/>
        </w:rPr>
        <w:t xml:space="preserve"> dissolved in benzene has a purple color.</w:t>
      </w:r>
    </w:p>
    <w:p w14:paraId="4F4ECEC2" w14:textId="77777777" w:rsidR="004D0130" w:rsidRDefault="004D0130" w:rsidP="005D726C">
      <w:pPr>
        <w:jc w:val="both"/>
        <w:rPr>
          <w:rFonts w:ascii="Times-Roman" w:hAnsi="Times-Roman"/>
          <w:snapToGrid w:val="0"/>
          <w:sz w:val="24"/>
        </w:rPr>
      </w:pPr>
    </w:p>
    <w:sectPr w:rsidR="004D013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0257A"/>
    <w:rsid w:val="00035177"/>
    <w:rsid w:val="00054B2C"/>
    <w:rsid w:val="00094CAB"/>
    <w:rsid w:val="000B35A3"/>
    <w:rsid w:val="000C52F6"/>
    <w:rsid w:val="000D1F8F"/>
    <w:rsid w:val="000F6891"/>
    <w:rsid w:val="00101F1A"/>
    <w:rsid w:val="00106AF0"/>
    <w:rsid w:val="00110397"/>
    <w:rsid w:val="001152BA"/>
    <w:rsid w:val="001431FA"/>
    <w:rsid w:val="0014510E"/>
    <w:rsid w:val="00157B7B"/>
    <w:rsid w:val="001B3708"/>
    <w:rsid w:val="001C6911"/>
    <w:rsid w:val="002013E3"/>
    <w:rsid w:val="00217331"/>
    <w:rsid w:val="002711F4"/>
    <w:rsid w:val="003319CD"/>
    <w:rsid w:val="00344F93"/>
    <w:rsid w:val="003565BA"/>
    <w:rsid w:val="00397052"/>
    <w:rsid w:val="003A7B17"/>
    <w:rsid w:val="003D7073"/>
    <w:rsid w:val="003F1AB1"/>
    <w:rsid w:val="003F3F6B"/>
    <w:rsid w:val="00403497"/>
    <w:rsid w:val="00412F54"/>
    <w:rsid w:val="00422590"/>
    <w:rsid w:val="00474DFF"/>
    <w:rsid w:val="004D0130"/>
    <w:rsid w:val="004E5044"/>
    <w:rsid w:val="00583065"/>
    <w:rsid w:val="005D726C"/>
    <w:rsid w:val="005D76EE"/>
    <w:rsid w:val="00622A15"/>
    <w:rsid w:val="00652C26"/>
    <w:rsid w:val="00693319"/>
    <w:rsid w:val="006C3BE7"/>
    <w:rsid w:val="00727A32"/>
    <w:rsid w:val="0074716F"/>
    <w:rsid w:val="0077325E"/>
    <w:rsid w:val="007A08B9"/>
    <w:rsid w:val="007B0650"/>
    <w:rsid w:val="007F200A"/>
    <w:rsid w:val="008110B3"/>
    <w:rsid w:val="00893D06"/>
    <w:rsid w:val="008D4F40"/>
    <w:rsid w:val="00935F4E"/>
    <w:rsid w:val="009537F2"/>
    <w:rsid w:val="00960A4A"/>
    <w:rsid w:val="009B70FB"/>
    <w:rsid w:val="009D2EFE"/>
    <w:rsid w:val="00A211DB"/>
    <w:rsid w:val="00A41A19"/>
    <w:rsid w:val="00A547B9"/>
    <w:rsid w:val="00A73231"/>
    <w:rsid w:val="00AC390C"/>
    <w:rsid w:val="00AF5232"/>
    <w:rsid w:val="00B206A7"/>
    <w:rsid w:val="00B34C27"/>
    <w:rsid w:val="00B526B1"/>
    <w:rsid w:val="00BB1E7D"/>
    <w:rsid w:val="00BF69F4"/>
    <w:rsid w:val="00C15F3A"/>
    <w:rsid w:val="00C179CA"/>
    <w:rsid w:val="00C665AA"/>
    <w:rsid w:val="00C92EA5"/>
    <w:rsid w:val="00CA160C"/>
    <w:rsid w:val="00CA488B"/>
    <w:rsid w:val="00CC71CE"/>
    <w:rsid w:val="00CE2419"/>
    <w:rsid w:val="00CF6594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7214D"/>
    <w:rsid w:val="00E80419"/>
    <w:rsid w:val="00EC0341"/>
    <w:rsid w:val="00EC7EB9"/>
    <w:rsid w:val="00ED2AE7"/>
    <w:rsid w:val="00F137CA"/>
    <w:rsid w:val="00F85C9B"/>
    <w:rsid w:val="00FB50B4"/>
    <w:rsid w:val="00FD0AC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EB39C"/>
  <w15:chartTrackingRefBased/>
  <w15:docId w15:val="{5222E3D9-EB37-2B45-898F-591C57D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2020-12-15T16:55:00Z</dcterms:created>
  <dcterms:modified xsi:type="dcterms:W3CDTF">2020-12-15T16:55:00Z</dcterms:modified>
</cp:coreProperties>
</file>